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4346F6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r w:rsidRPr="00EC27F3">
        <w:rPr>
          <w:rFonts w:asciiTheme="majorHAnsi" w:hAnsiTheme="majorHAnsi" w:cstheme="majorHAnsi"/>
          <w:sz w:val="20"/>
          <w:szCs w:val="20"/>
          <w:lang w:val="hr-HR"/>
        </w:rPr>
        <w:t xml:space="preserve">Kako bi se osigurala poštena i transparentna obrada osobnih podataka, u skladu s člankom 13. </w:t>
      </w:r>
      <w:r w:rsidRPr="00EC27F3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E7133E" w:rsidRPr="00EC27F3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EC27F3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:rsidR="00856C35" w:rsidRPr="00EC27F3" w:rsidRDefault="00E7133E" w:rsidP="00856C35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voditelja obrade</w:t>
      </w:r>
    </w:p>
    <w:p w:rsidR="00856C35" w:rsidRPr="00EC27F3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EC27F3" w:rsidTr="00BC07E3">
        <w:trPr>
          <w:trHeight w:val="288"/>
        </w:trPr>
        <w:tc>
          <w:tcPr>
            <w:tcW w:w="1803" w:type="dxa"/>
            <w:vAlign w:val="bottom"/>
          </w:tcPr>
          <w:p w:rsidR="00DE7FB7" w:rsidRPr="00EC27F3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Voditelj obrade</w:t>
            </w:r>
            <w:r w:rsidR="00C760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EC27F3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:rsidR="0030222D" w:rsidRPr="00EC27F3" w:rsidRDefault="0030222D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Naziv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E713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0F2DF4" w:rsidRPr="00EC27F3" w:rsidRDefault="00E7133E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Mail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9" w:history="1">
              <w:r w:rsidRPr="00EC27F3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0F2DF4" w:rsidP="0049080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E7133E" w:rsidP="00C31DCC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Grad Zagreb, </w:t>
            </w:r>
            <w:r w:rsidR="00C31DCC">
              <w:rPr>
                <w:rFonts w:asciiTheme="majorHAnsi" w:hAnsiTheme="majorHAnsi" w:cstheme="majorHAnsi"/>
                <w:lang w:val="hr-HR" w:eastAsia="hr-HR"/>
              </w:rPr>
              <w:t>Stručna služba Gradske uprave</w:t>
            </w: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EC27F3" w:rsidRDefault="0030222D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Telefon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CD753E" w:rsidP="00C31DCC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="00C31DCC">
              <w:rPr>
                <w:rFonts w:asciiTheme="majorHAnsi" w:hAnsiTheme="majorHAnsi" w:cstheme="majorHAnsi"/>
                <w:lang w:val="hr-HR" w:eastAsia="hr-HR"/>
              </w:rPr>
              <w:t>01/6585</w:t>
            </w:r>
            <w:r w:rsidR="00E7133E" w:rsidRPr="00EC27F3">
              <w:rPr>
                <w:rFonts w:asciiTheme="majorHAnsi" w:hAnsiTheme="majorHAnsi" w:cstheme="majorHAnsi"/>
                <w:lang w:val="hr-HR" w:eastAsia="hr-HR"/>
              </w:rPr>
              <w:t>-</w:t>
            </w:r>
            <w:r w:rsidR="00C31DCC">
              <w:rPr>
                <w:rFonts w:asciiTheme="majorHAnsi" w:hAnsiTheme="majorHAnsi" w:cstheme="majorHAnsi"/>
                <w:lang w:val="hr-HR" w:eastAsia="hr-HR"/>
              </w:rPr>
              <w:t>761</w:t>
            </w:r>
          </w:p>
        </w:tc>
      </w:tr>
      <w:tr w:rsidR="000D2539" w:rsidRPr="00EC27F3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EC27F3" w:rsidRDefault="000D2539" w:rsidP="0030222D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Ad</w:t>
            </w:r>
            <w:r w:rsidR="0030222D" w:rsidRPr="00EC27F3">
              <w:rPr>
                <w:rFonts w:asciiTheme="majorHAnsi" w:hAnsiTheme="majorHAnsi" w:cstheme="majorHAnsi"/>
                <w:lang w:val="hr-HR"/>
              </w:rPr>
              <w:t>resa</w:t>
            </w:r>
            <w:r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EC27F3" w:rsidRDefault="00C31DCC" w:rsidP="009D7AD0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 w:eastAsia="hr-HR"/>
              </w:rPr>
              <w:t>Zagreb, Park Stara Trešnjevka 2</w:t>
            </w:r>
          </w:p>
        </w:tc>
      </w:tr>
    </w:tbl>
    <w:p w:rsidR="00871876" w:rsidRPr="00EC27F3" w:rsidRDefault="0030222D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804"/>
      </w:tblGrid>
      <w:tr w:rsidR="000D2539" w:rsidRPr="00EC27F3" w:rsidTr="005559AC">
        <w:trPr>
          <w:trHeight w:val="288"/>
        </w:trPr>
        <w:tc>
          <w:tcPr>
            <w:tcW w:w="1276" w:type="dxa"/>
            <w:vAlign w:val="bottom"/>
          </w:tcPr>
          <w:p w:rsidR="000D2539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804" w:type="dxa"/>
            <w:tcBorders>
              <w:bottom w:val="single" w:sz="4" w:space="0" w:color="auto"/>
            </w:tcBorders>
            <w:vAlign w:val="bottom"/>
          </w:tcPr>
          <w:p w:rsidR="0081638D" w:rsidRPr="0081638D" w:rsidRDefault="005744E5" w:rsidP="00D70E1E">
            <w:pPr>
              <w:pStyle w:val="FieldText"/>
              <w:jc w:val="both"/>
              <w:rPr>
                <w:sz w:val="20"/>
                <w:szCs w:val="20"/>
              </w:rPr>
            </w:pPr>
            <w:hyperlink r:id="rId10" w:tgtFrame="_blank" w:history="1">
              <w:r w:rsidR="005559AC" w:rsidRPr="005559AC">
                <w:rPr>
                  <w:rFonts w:ascii="Arial" w:hAnsi="Arial" w:cs="Arial"/>
                  <w:color w:val="454545"/>
                  <w:sz w:val="20"/>
                  <w:szCs w:val="20"/>
                  <w:u w:val="single"/>
                  <w:shd w:val="clear" w:color="auto" w:fill="FFFFFF"/>
                </w:rPr>
                <w:t xml:space="preserve">ODLUKA O </w:t>
              </w:r>
              <w:r w:rsidR="00DA73C9">
                <w:rPr>
                  <w:rFonts w:ascii="Arial" w:hAnsi="Arial" w:cs="Arial"/>
                  <w:color w:val="454545"/>
                  <w:sz w:val="20"/>
                  <w:szCs w:val="20"/>
                  <w:u w:val="single"/>
                  <w:shd w:val="clear" w:color="auto" w:fill="FFFFFF"/>
                </w:rPr>
                <w:t>SOCIJALNOJ SKRBI</w:t>
              </w:r>
              <w:r w:rsidR="005559AC" w:rsidRPr="005559AC">
                <w:rPr>
                  <w:rFonts w:ascii="Arial" w:hAnsi="Arial" w:cs="Arial"/>
                  <w:color w:val="454545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</w:hyperlink>
            <w:r w:rsidR="0081638D" w:rsidRPr="0081638D">
              <w:rPr>
                <w:sz w:val="20"/>
                <w:szCs w:val="20"/>
              </w:rPr>
              <w:t>(</w:t>
            </w:r>
            <w:proofErr w:type="spellStart"/>
            <w:r w:rsidR="0081638D" w:rsidRPr="0081638D">
              <w:rPr>
                <w:sz w:val="20"/>
                <w:szCs w:val="20"/>
              </w:rPr>
              <w:t>Službeni</w:t>
            </w:r>
            <w:proofErr w:type="spellEnd"/>
            <w:r w:rsidR="0081638D" w:rsidRPr="0081638D">
              <w:rPr>
                <w:sz w:val="20"/>
                <w:szCs w:val="20"/>
              </w:rPr>
              <w:t xml:space="preserve"> </w:t>
            </w:r>
            <w:proofErr w:type="spellStart"/>
            <w:r w:rsidR="0081638D" w:rsidRPr="0081638D">
              <w:rPr>
                <w:sz w:val="20"/>
                <w:szCs w:val="20"/>
              </w:rPr>
              <w:t>glasnik</w:t>
            </w:r>
            <w:proofErr w:type="spellEnd"/>
            <w:r w:rsidR="0081638D" w:rsidRPr="0081638D">
              <w:rPr>
                <w:sz w:val="20"/>
                <w:szCs w:val="20"/>
              </w:rPr>
              <w:t xml:space="preserve"> </w:t>
            </w:r>
            <w:proofErr w:type="spellStart"/>
            <w:r w:rsidR="0081638D" w:rsidRPr="0081638D">
              <w:rPr>
                <w:sz w:val="20"/>
                <w:szCs w:val="20"/>
              </w:rPr>
              <w:t>Grada</w:t>
            </w:r>
            <w:proofErr w:type="spellEnd"/>
            <w:r w:rsidR="0081638D" w:rsidRPr="0081638D">
              <w:rPr>
                <w:sz w:val="20"/>
                <w:szCs w:val="20"/>
              </w:rPr>
              <w:t xml:space="preserve"> </w:t>
            </w:r>
            <w:proofErr w:type="spellStart"/>
            <w:r w:rsidR="0081638D" w:rsidRPr="0081638D">
              <w:rPr>
                <w:sz w:val="20"/>
                <w:szCs w:val="20"/>
              </w:rPr>
              <w:t>Zagreba</w:t>
            </w:r>
            <w:proofErr w:type="spellEnd"/>
            <w:r w:rsidR="00903854">
              <w:rPr>
                <w:sz w:val="20"/>
                <w:szCs w:val="20"/>
              </w:rPr>
              <w:t>:</w:t>
            </w:r>
            <w:bookmarkStart w:id="0" w:name="_GoBack"/>
            <w:bookmarkEnd w:id="0"/>
            <w:r w:rsidR="0081638D" w:rsidRPr="0081638D">
              <w:rPr>
                <w:sz w:val="20"/>
                <w:szCs w:val="20"/>
              </w:rPr>
              <w:t xml:space="preserve"> </w:t>
            </w:r>
            <w:r w:rsidR="00C73EA3">
              <w:rPr>
                <w:sz w:val="20"/>
                <w:szCs w:val="20"/>
              </w:rPr>
              <w:t>7</w:t>
            </w:r>
            <w:r w:rsidR="00DA73C9">
              <w:rPr>
                <w:sz w:val="20"/>
                <w:szCs w:val="20"/>
              </w:rPr>
              <w:t>/2</w:t>
            </w:r>
            <w:r w:rsidR="00C73EA3">
              <w:rPr>
                <w:sz w:val="20"/>
                <w:szCs w:val="20"/>
              </w:rPr>
              <w:t>5</w:t>
            </w:r>
            <w:r w:rsidR="0081638D" w:rsidRPr="0081638D">
              <w:rPr>
                <w:sz w:val="20"/>
                <w:szCs w:val="20"/>
              </w:rPr>
              <w:t>)</w:t>
            </w:r>
          </w:p>
          <w:p w:rsidR="0081638D" w:rsidRPr="0081638D" w:rsidRDefault="0081638D" w:rsidP="00D70E1E">
            <w:pPr>
              <w:pStyle w:val="FieldText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</w:p>
        </w:tc>
      </w:tr>
      <w:tr w:rsidR="0030222D" w:rsidRPr="00EC27F3" w:rsidTr="005559AC">
        <w:trPr>
          <w:trHeight w:val="288"/>
        </w:trPr>
        <w:tc>
          <w:tcPr>
            <w:tcW w:w="1276" w:type="dxa"/>
            <w:vAlign w:val="bottom"/>
          </w:tcPr>
          <w:p w:rsidR="0030222D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804" w:type="dxa"/>
            <w:tcBorders>
              <w:bottom w:val="single" w:sz="4" w:space="0" w:color="auto"/>
            </w:tcBorders>
            <w:vAlign w:val="bottom"/>
          </w:tcPr>
          <w:p w:rsidR="00624C7B" w:rsidRPr="0081638D" w:rsidRDefault="004C3446" w:rsidP="005559AC">
            <w:pPr>
              <w:pStyle w:val="FieldText"/>
              <w:numPr>
                <w:ilvl w:val="0"/>
                <w:numId w:val="13"/>
              </w:numPr>
              <w:ind w:left="141" w:hanging="142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  <w:r>
              <w:rPr>
                <w:b w:val="0"/>
                <w:i/>
                <w:sz w:val="20"/>
                <w:szCs w:val="20"/>
              </w:rPr>
              <w:t>O</w:t>
            </w:r>
            <w:r w:rsidR="0081638D" w:rsidRPr="0081638D">
              <w:rPr>
                <w:b w:val="0"/>
                <w:i/>
                <w:sz w:val="20"/>
                <w:szCs w:val="20"/>
              </w:rPr>
              <w:t xml:space="preserve">STVARIVANJE </w:t>
            </w:r>
            <w:r w:rsidR="005559AC">
              <w:rPr>
                <w:b w:val="0"/>
                <w:i/>
                <w:sz w:val="20"/>
                <w:szCs w:val="20"/>
              </w:rPr>
              <w:t>NOVČANE POMOĆI POVODOM BLAGDANA USKRSA I BOŽIĆA</w:t>
            </w:r>
            <w:r w:rsidR="0081638D" w:rsidRPr="0081638D">
              <w:rPr>
                <w:b w:val="0"/>
                <w:i/>
                <w:sz w:val="20"/>
                <w:szCs w:val="20"/>
              </w:rPr>
              <w:t xml:space="preserve">  </w:t>
            </w:r>
          </w:p>
        </w:tc>
      </w:tr>
    </w:tbl>
    <w:p w:rsidR="00C473DF" w:rsidRPr="00EC27F3" w:rsidRDefault="00C473DF" w:rsidP="00D70E1E">
      <w:pPr>
        <w:pStyle w:val="Heading2"/>
        <w:jc w:val="both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804"/>
      </w:tblGrid>
      <w:tr w:rsidR="0009700A" w:rsidRPr="00EC27F3" w:rsidTr="004346F6">
        <w:trPr>
          <w:gridAfter w:val="1"/>
          <w:wAfter w:w="8804" w:type="dxa"/>
          <w:trHeight w:val="288"/>
        </w:trPr>
        <w:tc>
          <w:tcPr>
            <w:tcW w:w="1276" w:type="dxa"/>
            <w:vAlign w:val="bottom"/>
          </w:tcPr>
          <w:p w:rsidR="0009700A" w:rsidRPr="00EC27F3" w:rsidRDefault="0009700A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</w:tr>
      <w:tr w:rsidR="0081638D" w:rsidRPr="00EC27F3" w:rsidTr="004346F6">
        <w:trPr>
          <w:trHeight w:val="288"/>
        </w:trPr>
        <w:tc>
          <w:tcPr>
            <w:tcW w:w="1276" w:type="dxa"/>
            <w:vAlign w:val="bottom"/>
          </w:tcPr>
          <w:p w:rsidR="0081638D" w:rsidRPr="00EC27F3" w:rsidRDefault="0081638D" w:rsidP="0081638D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804" w:type="dxa"/>
            <w:tcBorders>
              <w:bottom w:val="single" w:sz="4" w:space="0" w:color="auto"/>
            </w:tcBorders>
            <w:vAlign w:val="bottom"/>
          </w:tcPr>
          <w:p w:rsidR="0081638D" w:rsidRPr="0081638D" w:rsidRDefault="0081638D" w:rsidP="0081638D">
            <w:pPr>
              <w:pStyle w:val="FieldText"/>
              <w:numPr>
                <w:ilvl w:val="0"/>
                <w:numId w:val="13"/>
              </w:numPr>
              <w:ind w:left="141" w:hanging="142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  <w:r w:rsidRPr="0081638D"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  <w:t xml:space="preserve">ZAHTJEV </w:t>
            </w:r>
            <w:r w:rsidRPr="0081638D">
              <w:rPr>
                <w:b w:val="0"/>
                <w:i/>
                <w:sz w:val="20"/>
                <w:szCs w:val="20"/>
              </w:rPr>
              <w:t xml:space="preserve">ZA </w:t>
            </w:r>
            <w:r w:rsidR="005559AC">
              <w:rPr>
                <w:b w:val="0"/>
                <w:i/>
                <w:sz w:val="20"/>
                <w:szCs w:val="20"/>
              </w:rPr>
              <w:t>NOVČANU POMOĆ POVODOM BLAGDANA USKRSA I BOŽIĆA</w:t>
            </w:r>
            <w:r w:rsidRPr="0081638D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81638D" w:rsidRPr="0081638D" w:rsidRDefault="005559AC" w:rsidP="005559AC">
            <w:pPr>
              <w:pStyle w:val="FieldText"/>
              <w:ind w:left="141"/>
              <w:jc w:val="both"/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  <w:t>3</w:t>
            </w:r>
            <w:r w:rsidR="0081638D"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  <w:t xml:space="preserve"> GODIN</w:t>
            </w: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hr-HR"/>
              </w:rPr>
              <w:t>E</w:t>
            </w:r>
            <w:r w:rsidR="0081638D" w:rsidRPr="0081638D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</w:tbl>
    <w:p w:rsidR="00C92A3C" w:rsidRPr="00EC27F3" w:rsidRDefault="00C473DF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Prava ispitanika</w:t>
      </w:r>
    </w:p>
    <w:p w:rsidR="00C473DF" w:rsidRPr="00EC27F3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Obrasci zahtjeva podnošenjem kojih ispitanici mogu zaštiti svoja prava vezana uz obradu osobnih podataka nalaze se na adresi:  </w:t>
      </w:r>
      <w:hyperlink r:id="rId11" w:history="1">
        <w:r w:rsidRPr="00EC27F3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  <w:r w:rsidRPr="00EC27F3">
        <w:rPr>
          <w:rFonts w:asciiTheme="majorHAnsi" w:hAnsiTheme="majorHAnsi" w:cstheme="majorHAnsi"/>
          <w:szCs w:val="19"/>
          <w:lang w:val="hr-HR" w:eastAsia="hr-HR"/>
        </w:rPr>
        <w:t>)</w:t>
      </w:r>
    </w:p>
    <w:p w:rsidR="00871876" w:rsidRPr="00EC27F3" w:rsidRDefault="00183B8A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EC27F3" w:rsidTr="00FD653E">
        <w:trPr>
          <w:trHeight w:val="288"/>
        </w:trPr>
        <w:tc>
          <w:tcPr>
            <w:tcW w:w="3828" w:type="dxa"/>
            <w:vAlign w:val="bottom"/>
          </w:tcPr>
          <w:p w:rsidR="00142A29" w:rsidRPr="00EC27F3" w:rsidRDefault="00142A29" w:rsidP="00142A29">
            <w:pPr>
              <w:rPr>
                <w:rFonts w:asciiTheme="majorHAnsi" w:hAnsiTheme="majorHAnsi" w:cstheme="majorHAnsi"/>
                <w:lang w:val="hr-HR"/>
              </w:rPr>
            </w:pPr>
          </w:p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/>
                <w:lang w:val="hr-HR"/>
              </w:rPr>
              <w:t>Vrši se zbog Zakonske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/Ugovorne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obveze</w:t>
            </w:r>
            <w:r w:rsidR="001211C1" w:rsidRPr="00EC27F3">
              <w:rPr>
                <w:rFonts w:asciiTheme="majorHAnsi" w:hAnsiTheme="majorHAnsi" w:cstheme="majorHAnsi"/>
                <w:b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NE </w:t>
            </w:r>
          </w:p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5744E5">
              <w:rPr>
                <w:rFonts w:asciiTheme="majorHAnsi" w:hAnsiTheme="majorHAnsi" w:cstheme="majorHAnsi"/>
                <w:lang w:val="hr-HR"/>
              </w:rPr>
            </w:r>
            <w:r w:rsidR="005744E5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5744E5">
              <w:rPr>
                <w:rFonts w:asciiTheme="majorHAnsi" w:hAnsiTheme="majorHAnsi" w:cstheme="majorHAnsi"/>
                <w:lang w:val="hr-HR"/>
              </w:rPr>
            </w:r>
            <w:r w:rsidR="005744E5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576D9" w:rsidRPr="00EC27F3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EC27F3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8576D9" w:rsidRPr="00EC27F3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0DE2" w:rsidRPr="00EC27F3" w:rsidTr="00310DE2">
        <w:trPr>
          <w:trHeight w:val="288"/>
        </w:trPr>
        <w:tc>
          <w:tcPr>
            <w:tcW w:w="3828" w:type="dxa"/>
            <w:vAlign w:val="bottom"/>
          </w:tcPr>
          <w:p w:rsidR="00310DE2" w:rsidRPr="00EC27F3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Kao uvjet nužan za sklapanje ugovora</w:t>
            </w:r>
            <w:r w:rsidR="001211C1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DA  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5744E5">
              <w:rPr>
                <w:rFonts w:asciiTheme="majorHAnsi" w:hAnsiTheme="majorHAnsi" w:cstheme="majorHAnsi"/>
                <w:lang w:val="hr-HR"/>
              </w:rPr>
            </w:r>
            <w:r w:rsidR="005744E5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1"/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5744E5">
              <w:rPr>
                <w:rFonts w:asciiTheme="majorHAnsi" w:hAnsiTheme="majorHAnsi" w:cstheme="majorHAnsi"/>
                <w:lang w:val="hr-HR"/>
              </w:rPr>
            </w:r>
            <w:r w:rsidR="005744E5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EC27F3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EC27F3" w:rsidTr="00492D3E">
        <w:trPr>
          <w:trHeight w:val="288"/>
        </w:trPr>
        <w:tc>
          <w:tcPr>
            <w:tcW w:w="2268" w:type="dxa"/>
            <w:vAlign w:val="bottom"/>
          </w:tcPr>
          <w:p w:rsidR="008576D9" w:rsidRPr="00EC27F3" w:rsidRDefault="008576D9" w:rsidP="00FD653E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4D74AC" w:rsidRPr="00EC27F3" w:rsidRDefault="005E6625" w:rsidP="005E6625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ODBIJANJE ZAHTJEVA</w:t>
            </w:r>
          </w:p>
        </w:tc>
      </w:tr>
    </w:tbl>
    <w:p w:rsidR="008576D9" w:rsidRPr="00EC27F3" w:rsidRDefault="004346F6" w:rsidP="004346F6">
      <w:pPr>
        <w:pStyle w:val="Heading2"/>
        <w:tabs>
          <w:tab w:val="center" w:pos="5040"/>
        </w:tabs>
        <w:jc w:val="left"/>
        <w:rPr>
          <w:rFonts w:cstheme="majorHAnsi"/>
          <w:lang w:val="hr-HR"/>
        </w:rPr>
      </w:pPr>
      <w:r>
        <w:rPr>
          <w:rFonts w:cstheme="majorHAnsi"/>
          <w:lang w:val="hr-HR"/>
        </w:rPr>
        <w:tab/>
      </w:r>
      <w:r w:rsidR="008576D9" w:rsidRPr="00EC27F3">
        <w:rPr>
          <w:rFonts w:cstheme="majorHAnsi"/>
          <w:lang w:val="hr-HR"/>
        </w:rPr>
        <w:t>Primatelji osobnih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EC27F3" w:rsidTr="00FD653E">
        <w:trPr>
          <w:trHeight w:val="288"/>
        </w:trPr>
        <w:tc>
          <w:tcPr>
            <w:tcW w:w="1491" w:type="dxa"/>
            <w:vAlign w:val="bottom"/>
          </w:tcPr>
          <w:p w:rsidR="008576D9" w:rsidRPr="0081638D" w:rsidRDefault="008576D9" w:rsidP="00FD653E">
            <w:pPr>
              <w:rPr>
                <w:rFonts w:asciiTheme="majorHAnsi" w:hAnsiTheme="majorHAnsi" w:cstheme="majorHAnsi"/>
                <w:u w:val="single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                                        </w:t>
            </w:r>
            <w:r w:rsidRPr="0081638D">
              <w:rPr>
                <w:rFonts w:asciiTheme="majorHAnsi" w:hAnsiTheme="majorHAnsi" w:cstheme="majorHAnsi"/>
                <w:u w:val="single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81638D" w:rsidRDefault="005559AC" w:rsidP="0081638D">
            <w:pPr>
              <w:pStyle w:val="FieldText"/>
              <w:numPr>
                <w:ilvl w:val="0"/>
                <w:numId w:val="13"/>
              </w:numPr>
              <w:ind w:left="207" w:hanging="207"/>
              <w:jc w:val="both"/>
              <w:rPr>
                <w:rFonts w:asciiTheme="majorHAnsi" w:hAnsiTheme="majorHAnsi" w:cstheme="majorHAnsi"/>
                <w:b w:val="0"/>
                <w:u w:val="single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u w:val="single"/>
                <w:lang w:val="hr-HR"/>
              </w:rPr>
              <w:t xml:space="preserve">GRADSKI URED ZA </w:t>
            </w:r>
            <w:r w:rsidR="0095673C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 xml:space="preserve">FINANCIJE I JAVNU NABAVU KOD ISPLATE NOVČANE POMOĆI </w:t>
            </w:r>
            <w:r w:rsid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__________________</w:t>
            </w:r>
          </w:p>
          <w:p w:rsidR="0081638D" w:rsidRPr="0081638D" w:rsidRDefault="0081638D" w:rsidP="0095673C">
            <w:pPr>
              <w:pStyle w:val="FieldText"/>
              <w:numPr>
                <w:ilvl w:val="0"/>
                <w:numId w:val="13"/>
              </w:numPr>
              <w:ind w:left="207" w:hanging="207"/>
              <w:jc w:val="both"/>
              <w:rPr>
                <w:rFonts w:asciiTheme="majorHAnsi" w:hAnsiTheme="majorHAnsi" w:cstheme="majorHAnsi"/>
                <w:b w:val="0"/>
                <w:u w:val="single"/>
                <w:lang w:val="hr-HR"/>
              </w:rPr>
            </w:pPr>
            <w:r w:rsidRP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STRUČNA SLUŽBA GRAD</w:t>
            </w:r>
            <w:r w:rsidR="0095673C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SKE UPRAVE</w:t>
            </w:r>
            <w:r w:rsidRPr="0081638D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 xml:space="preserve"> </w:t>
            </w:r>
            <w:r w:rsidR="005559AC">
              <w:rPr>
                <w:rFonts w:asciiTheme="majorHAnsi" w:hAnsiTheme="majorHAnsi" w:cstheme="majorHAnsi"/>
                <w:b w:val="0"/>
                <w:u w:val="single"/>
                <w:lang w:val="hr-HR"/>
              </w:rPr>
              <w:t>KOD RJEŠAVANJA O PRIGOVORU STRANKE</w:t>
            </w:r>
          </w:p>
        </w:tc>
      </w:tr>
    </w:tbl>
    <w:p w:rsidR="00310DE2" w:rsidRPr="00EC27F3" w:rsidRDefault="00310DE2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Prijenos i obrada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EC27F3" w:rsidTr="00142A29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81638D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b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</w:t>
            </w:r>
            <w:r w:rsidRPr="0081638D">
              <w:rPr>
                <w:rFonts w:asciiTheme="majorHAnsi" w:hAnsiTheme="majorHAnsi" w:cstheme="majorHAnsi"/>
                <w:szCs w:val="17"/>
                <w:lang w:val="hr-HR"/>
              </w:rPr>
              <w:t xml:space="preserve">DA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</w:t>
            </w:r>
            <w:r w:rsidRPr="0081638D">
              <w:rPr>
                <w:rFonts w:asciiTheme="majorHAnsi" w:hAnsiTheme="majorHAnsi" w:cstheme="majorHAnsi"/>
                <w:b/>
                <w:szCs w:val="17"/>
                <w:lang w:val="hr-HR"/>
              </w:rPr>
              <w:t xml:space="preserve">NE </w:t>
            </w:r>
          </w:p>
          <w:p w:rsidR="00142A29" w:rsidRPr="00EC27F3" w:rsidRDefault="00142A29" w:rsidP="006F07F7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5744E5">
              <w:rPr>
                <w:rFonts w:asciiTheme="majorHAnsi" w:hAnsiTheme="majorHAnsi" w:cstheme="majorHAnsi"/>
                <w:szCs w:val="17"/>
                <w:lang w:val="hr-HR"/>
              </w:rPr>
            </w:r>
            <w:r w:rsidR="005744E5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bookmarkStart w:id="2" w:name="Check4"/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5744E5">
              <w:rPr>
                <w:rFonts w:asciiTheme="majorHAnsi" w:hAnsiTheme="majorHAnsi" w:cstheme="majorHAnsi"/>
                <w:szCs w:val="17"/>
                <w:lang w:val="hr-HR"/>
              </w:rPr>
            </w:r>
            <w:r w:rsidR="005744E5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bookmarkEnd w:id="2"/>
          </w:p>
        </w:tc>
        <w:tc>
          <w:tcPr>
            <w:tcW w:w="50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EC27F3" w:rsidTr="00FD653E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:rsidR="00142A29" w:rsidRPr="00EC27F3" w:rsidRDefault="00142A29" w:rsidP="00FD653E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Voditelj obrade namjerava osobne podatke obrađivati i u druge svrhe 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DA   </w:t>
            </w:r>
            <w:r w:rsidR="001211C1"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</w:p>
          <w:p w:rsidR="00142A29" w:rsidRPr="00EC27F3" w:rsidRDefault="00142A29" w:rsidP="006F07F7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5744E5">
              <w:rPr>
                <w:rFonts w:asciiTheme="majorHAnsi" w:hAnsiTheme="majorHAnsi" w:cstheme="majorHAnsi"/>
                <w:szCs w:val="17"/>
                <w:lang w:val="hr-HR"/>
              </w:rPr>
            </w:r>
            <w:r w:rsidR="005744E5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5744E5">
              <w:rPr>
                <w:rFonts w:asciiTheme="majorHAnsi" w:hAnsiTheme="majorHAnsi" w:cstheme="majorHAnsi"/>
                <w:szCs w:val="17"/>
                <w:lang w:val="hr-HR"/>
              </w:rPr>
            </w:r>
            <w:r w:rsidR="005744E5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6F07F7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310DE2" w:rsidRPr="00EC27F3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p w:rsidR="009D7AD0" w:rsidRPr="004346F6" w:rsidRDefault="00E21B14" w:rsidP="004346F6">
      <w:pPr>
        <w:jc w:val="both"/>
        <w:rPr>
          <w:rFonts w:asciiTheme="majorHAnsi" w:hAnsiTheme="majorHAnsi" w:cstheme="majorHAnsi"/>
          <w:b/>
          <w:lang w:val="hr-HR"/>
        </w:rPr>
      </w:pPr>
      <w:r w:rsidRPr="00EC27F3">
        <w:rPr>
          <w:rFonts w:asciiTheme="majorHAnsi" w:hAnsiTheme="majorHAnsi" w:cstheme="majorHAnsi"/>
          <w:b/>
          <w:lang w:val="hr-HR"/>
        </w:rPr>
        <w:t xml:space="preserve">Prenošenje osobnih podataka trećim zemljama izvan EU za pribavljanje propisanih dokaza iz inozemstva sukladno nadležnosti Gradskog ureda za </w:t>
      </w:r>
      <w:r w:rsidR="0095673C">
        <w:rPr>
          <w:rFonts w:asciiTheme="majorHAnsi" w:hAnsiTheme="majorHAnsi" w:cstheme="majorHAnsi"/>
          <w:b/>
          <w:lang w:val="hr-HR"/>
        </w:rPr>
        <w:t xml:space="preserve">socijalnu zaštitu, zdravstvo, </w:t>
      </w:r>
      <w:r w:rsidR="0095673C" w:rsidRPr="00EC27F3">
        <w:rPr>
          <w:rFonts w:asciiTheme="majorHAnsi" w:hAnsiTheme="majorHAnsi" w:cstheme="majorHAnsi"/>
          <w:b/>
          <w:lang w:val="hr-HR"/>
        </w:rPr>
        <w:t xml:space="preserve">branitelje </w:t>
      </w:r>
      <w:r w:rsidR="0095673C">
        <w:rPr>
          <w:rFonts w:asciiTheme="majorHAnsi" w:hAnsiTheme="majorHAnsi" w:cstheme="majorHAnsi"/>
          <w:b/>
          <w:lang w:val="hr-HR"/>
        </w:rPr>
        <w:t xml:space="preserve">i osobe s invaliditetom </w:t>
      </w:r>
      <w:r w:rsidRPr="00EC27F3">
        <w:rPr>
          <w:rFonts w:asciiTheme="majorHAnsi" w:hAnsiTheme="majorHAnsi" w:cstheme="majorHAnsi"/>
          <w:b/>
          <w:lang w:val="hr-HR"/>
        </w:rPr>
        <w:t>i za osobe bez prebivališta u Republici Hrvatskoj.</w:t>
      </w:r>
    </w:p>
    <w:p w:rsidR="008576D9" w:rsidRPr="00EC27F3" w:rsidRDefault="008576D9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ab/>
        <w:t>Nadzorno tijelo</w:t>
      </w:r>
    </w:p>
    <w:p w:rsidR="008576D9" w:rsidRPr="00900B91" w:rsidRDefault="008576D9" w:rsidP="0081638D">
      <w:pPr>
        <w:jc w:val="both"/>
        <w:rPr>
          <w:rFonts w:asciiTheme="majorHAnsi" w:hAnsiTheme="majorHAnsi" w:cstheme="majorHAnsi"/>
          <w:lang w:val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Nadzorno tijelo za provedbu Opće uredbe o zaštiti podataka je Agencija za zaštitu podatka sa sjedištem u Zagrebu, </w:t>
      </w:r>
      <w:proofErr w:type="spellStart"/>
      <w:r w:rsidR="00570067" w:rsidRPr="00E05EEC">
        <w:rPr>
          <w:rFonts w:ascii="Arial" w:hAnsi="Arial" w:cs="Arial"/>
          <w:b/>
          <w:shd w:val="clear" w:color="auto" w:fill="FFFFFF"/>
        </w:rPr>
        <w:t>Selska</w:t>
      </w:r>
      <w:proofErr w:type="spellEnd"/>
      <w:r w:rsidR="00570067" w:rsidRPr="00E05EEC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570067" w:rsidRPr="00E05EEC">
        <w:rPr>
          <w:rFonts w:ascii="Arial" w:hAnsi="Arial" w:cs="Arial"/>
          <w:b/>
          <w:shd w:val="clear" w:color="auto" w:fill="FFFFFF"/>
        </w:rPr>
        <w:t>cesta</w:t>
      </w:r>
      <w:proofErr w:type="spellEnd"/>
      <w:r w:rsidR="00570067" w:rsidRPr="00E05EEC">
        <w:rPr>
          <w:rFonts w:ascii="Arial" w:hAnsi="Arial" w:cs="Arial"/>
          <w:b/>
          <w:shd w:val="clear" w:color="auto" w:fill="FFFFFF"/>
        </w:rPr>
        <w:t xml:space="preserve"> 136</w:t>
      </w:r>
      <w:r w:rsidRPr="00EC27F3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EC27F3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2" w:history="1">
        <w:r w:rsidRPr="00EC27F3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EC27F3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sectPr w:rsidR="008576D9" w:rsidRPr="00900B91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E5" w:rsidRDefault="005744E5" w:rsidP="00176E67">
      <w:r>
        <w:separator/>
      </w:r>
    </w:p>
  </w:endnote>
  <w:endnote w:type="continuationSeparator" w:id="0">
    <w:p w:rsidR="005744E5" w:rsidRDefault="005744E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8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E5" w:rsidRDefault="005744E5" w:rsidP="00176E67">
      <w:r>
        <w:separator/>
      </w:r>
    </w:p>
  </w:footnote>
  <w:footnote w:type="continuationSeparator" w:id="0">
    <w:p w:rsidR="005744E5" w:rsidRDefault="005744E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3350D"/>
    <w:multiLevelType w:val="hybridMultilevel"/>
    <w:tmpl w:val="28BAB548"/>
    <w:lvl w:ilvl="0" w:tplc="72489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3AEB"/>
    <w:multiLevelType w:val="hybridMultilevel"/>
    <w:tmpl w:val="D5DAB4E4"/>
    <w:lvl w:ilvl="0" w:tplc="E93AD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0B0"/>
    <w:rsid w:val="00010B00"/>
    <w:rsid w:val="0002798A"/>
    <w:rsid w:val="000807E3"/>
    <w:rsid w:val="00083002"/>
    <w:rsid w:val="00087B85"/>
    <w:rsid w:val="0009700A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6E67"/>
    <w:rsid w:val="00180664"/>
    <w:rsid w:val="00183B8A"/>
    <w:rsid w:val="00187216"/>
    <w:rsid w:val="001903F7"/>
    <w:rsid w:val="0019395E"/>
    <w:rsid w:val="00197E18"/>
    <w:rsid w:val="001C4AB6"/>
    <w:rsid w:val="001D6B76"/>
    <w:rsid w:val="00211828"/>
    <w:rsid w:val="00250014"/>
    <w:rsid w:val="00275BB5"/>
    <w:rsid w:val="00286F6A"/>
    <w:rsid w:val="00291C8C"/>
    <w:rsid w:val="00292173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929F1"/>
    <w:rsid w:val="003951E3"/>
    <w:rsid w:val="003A1B63"/>
    <w:rsid w:val="003A41A1"/>
    <w:rsid w:val="003B2326"/>
    <w:rsid w:val="003D6415"/>
    <w:rsid w:val="00400251"/>
    <w:rsid w:val="004071FB"/>
    <w:rsid w:val="004346F6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C3446"/>
    <w:rsid w:val="004D472F"/>
    <w:rsid w:val="004D74AC"/>
    <w:rsid w:val="004E34C6"/>
    <w:rsid w:val="004F62AD"/>
    <w:rsid w:val="00501AE8"/>
    <w:rsid w:val="00504B65"/>
    <w:rsid w:val="005114CE"/>
    <w:rsid w:val="0052122B"/>
    <w:rsid w:val="005435EC"/>
    <w:rsid w:val="00552FB8"/>
    <w:rsid w:val="00554D31"/>
    <w:rsid w:val="005557F6"/>
    <w:rsid w:val="005559AC"/>
    <w:rsid w:val="00563778"/>
    <w:rsid w:val="00570067"/>
    <w:rsid w:val="005744E5"/>
    <w:rsid w:val="005B4AE2"/>
    <w:rsid w:val="005E63CC"/>
    <w:rsid w:val="005E6625"/>
    <w:rsid w:val="005F6E87"/>
    <w:rsid w:val="00607FED"/>
    <w:rsid w:val="00613129"/>
    <w:rsid w:val="00617C65"/>
    <w:rsid w:val="00624C7B"/>
    <w:rsid w:val="0063459A"/>
    <w:rsid w:val="00653B10"/>
    <w:rsid w:val="0066126B"/>
    <w:rsid w:val="00682C69"/>
    <w:rsid w:val="006D2635"/>
    <w:rsid w:val="006D779C"/>
    <w:rsid w:val="006E4F63"/>
    <w:rsid w:val="006E7027"/>
    <w:rsid w:val="006E729E"/>
    <w:rsid w:val="006F07F7"/>
    <w:rsid w:val="0070224A"/>
    <w:rsid w:val="007159AE"/>
    <w:rsid w:val="00722A00"/>
    <w:rsid w:val="00724FA4"/>
    <w:rsid w:val="007325A9"/>
    <w:rsid w:val="007361C8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041C"/>
    <w:rsid w:val="007E2A15"/>
    <w:rsid w:val="007E56C4"/>
    <w:rsid w:val="007F3D5B"/>
    <w:rsid w:val="008107D6"/>
    <w:rsid w:val="0081638D"/>
    <w:rsid w:val="00841645"/>
    <w:rsid w:val="00852EC6"/>
    <w:rsid w:val="00856C35"/>
    <w:rsid w:val="008576D9"/>
    <w:rsid w:val="00871876"/>
    <w:rsid w:val="008753A7"/>
    <w:rsid w:val="0088782D"/>
    <w:rsid w:val="00897CF5"/>
    <w:rsid w:val="008B7081"/>
    <w:rsid w:val="008D7A67"/>
    <w:rsid w:val="008F2F8A"/>
    <w:rsid w:val="008F5BCD"/>
    <w:rsid w:val="00900B91"/>
    <w:rsid w:val="00902964"/>
    <w:rsid w:val="00903854"/>
    <w:rsid w:val="00920507"/>
    <w:rsid w:val="00933455"/>
    <w:rsid w:val="00941F5F"/>
    <w:rsid w:val="0094790F"/>
    <w:rsid w:val="0095673C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263E"/>
    <w:rsid w:val="009D7AD0"/>
    <w:rsid w:val="00A14101"/>
    <w:rsid w:val="00A211B2"/>
    <w:rsid w:val="00A2727E"/>
    <w:rsid w:val="00A35524"/>
    <w:rsid w:val="00A41DFD"/>
    <w:rsid w:val="00A422D5"/>
    <w:rsid w:val="00A5441D"/>
    <w:rsid w:val="00A60C9E"/>
    <w:rsid w:val="00A72DEE"/>
    <w:rsid w:val="00A74F99"/>
    <w:rsid w:val="00A82BA3"/>
    <w:rsid w:val="00A949A7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0217"/>
    <w:rsid w:val="00C026EF"/>
    <w:rsid w:val="00C079CA"/>
    <w:rsid w:val="00C31DCC"/>
    <w:rsid w:val="00C34019"/>
    <w:rsid w:val="00C45FDA"/>
    <w:rsid w:val="00C473DF"/>
    <w:rsid w:val="00C67741"/>
    <w:rsid w:val="00C73EA3"/>
    <w:rsid w:val="00C74647"/>
    <w:rsid w:val="00C76039"/>
    <w:rsid w:val="00C76480"/>
    <w:rsid w:val="00C80AD2"/>
    <w:rsid w:val="00C86856"/>
    <w:rsid w:val="00C92A3C"/>
    <w:rsid w:val="00C92FD6"/>
    <w:rsid w:val="00CD753E"/>
    <w:rsid w:val="00CE1F09"/>
    <w:rsid w:val="00CE5DC7"/>
    <w:rsid w:val="00CE7D54"/>
    <w:rsid w:val="00D14E73"/>
    <w:rsid w:val="00D55AFA"/>
    <w:rsid w:val="00D6155E"/>
    <w:rsid w:val="00D70E1E"/>
    <w:rsid w:val="00D83A19"/>
    <w:rsid w:val="00D86A85"/>
    <w:rsid w:val="00D86C74"/>
    <w:rsid w:val="00D90A75"/>
    <w:rsid w:val="00DA4514"/>
    <w:rsid w:val="00DA73C9"/>
    <w:rsid w:val="00DC47A2"/>
    <w:rsid w:val="00DE1551"/>
    <w:rsid w:val="00DE1A09"/>
    <w:rsid w:val="00DE7FB7"/>
    <w:rsid w:val="00DF1DCE"/>
    <w:rsid w:val="00DF2CEE"/>
    <w:rsid w:val="00E05EEC"/>
    <w:rsid w:val="00E106E2"/>
    <w:rsid w:val="00E20DDA"/>
    <w:rsid w:val="00E21B14"/>
    <w:rsid w:val="00E32A8B"/>
    <w:rsid w:val="00E36054"/>
    <w:rsid w:val="00E37E7B"/>
    <w:rsid w:val="00E46E04"/>
    <w:rsid w:val="00E7133E"/>
    <w:rsid w:val="00E87396"/>
    <w:rsid w:val="00E96F6F"/>
    <w:rsid w:val="00EA6D5A"/>
    <w:rsid w:val="00EB478A"/>
    <w:rsid w:val="00EC27F3"/>
    <w:rsid w:val="00EC42A3"/>
    <w:rsid w:val="00EE7E1C"/>
    <w:rsid w:val="00EF16BD"/>
    <w:rsid w:val="00F4175D"/>
    <w:rsid w:val="00F774BA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E0E53"/>
  <w15:docId w15:val="{409305FF-F82C-47FE-A003-5F06DC3D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zop@azop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greb.hr/sluzbenik-za-zastitu-osobnih-podataka/496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1.zagreb.hr/zagreb/slglasnik.nsf/rest-akt/085305307763d97bc12583af003f8798?Open" TargetMode="External"/><Relationship Id="rId4" Type="http://schemas.openxmlformats.org/officeDocument/2006/relationships/styles" Target="styles.xml"/><Relationship Id="rId9" Type="http://schemas.openxmlformats.org/officeDocument/2006/relationships/hyperlink" Target="mailto:szop@zagreb.h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2139E-1275-41B1-BCDA-46DF9720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2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>Grad Zagreb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Ana Mihordin</cp:lastModifiedBy>
  <cp:revision>4</cp:revision>
  <cp:lastPrinted>2018-07-02T11:39:00Z</cp:lastPrinted>
  <dcterms:created xsi:type="dcterms:W3CDTF">2025-02-05T13:54:00Z</dcterms:created>
  <dcterms:modified xsi:type="dcterms:W3CDTF">2025-03-05T11:51:00Z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